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E6" w:rsidRPr="00827FA8" w:rsidRDefault="00111EA6" w:rsidP="00A4330F">
      <w:pPr>
        <w:pStyle w:val="tkTekst"/>
        <w:spacing w:after="0" w:line="240" w:lineRule="auto"/>
        <w:ind w:left="142" w:firstLine="425"/>
        <w:jc w:val="center"/>
        <w:rPr>
          <w:b/>
        </w:rPr>
      </w:pPr>
      <w:r w:rsidRPr="00827FA8">
        <w:rPr>
          <w:b/>
        </w:rPr>
        <w:t>Краткое описание практики корпоративного</w:t>
      </w:r>
      <w:r w:rsidR="004B66E6" w:rsidRPr="00827FA8">
        <w:rPr>
          <w:b/>
        </w:rPr>
        <w:t xml:space="preserve"> управления </w:t>
      </w:r>
    </w:p>
    <w:p w:rsidR="00111EA6" w:rsidRPr="00827FA8" w:rsidRDefault="004B66E6" w:rsidP="00A4330F">
      <w:pPr>
        <w:pStyle w:val="tkTekst"/>
        <w:spacing w:after="0" w:line="240" w:lineRule="auto"/>
        <w:ind w:left="142" w:firstLine="425"/>
        <w:jc w:val="center"/>
        <w:rPr>
          <w:b/>
        </w:rPr>
      </w:pPr>
      <w:r w:rsidRPr="00827FA8">
        <w:rPr>
          <w:b/>
        </w:rPr>
        <w:t>ОАО «Оптима Банк»</w:t>
      </w:r>
    </w:p>
    <w:p w:rsidR="00111EA6" w:rsidRPr="00827FA8" w:rsidRDefault="00111EA6" w:rsidP="00A4330F">
      <w:pPr>
        <w:pStyle w:val="tkTekst"/>
        <w:spacing w:after="0" w:line="240" w:lineRule="auto"/>
        <w:ind w:left="142" w:firstLine="425"/>
        <w:jc w:val="center"/>
        <w:rPr>
          <w:b/>
        </w:rPr>
      </w:pPr>
    </w:p>
    <w:p w:rsidR="00111EA6" w:rsidRPr="00827FA8" w:rsidRDefault="00111EA6" w:rsidP="00A4330F">
      <w:pPr>
        <w:pStyle w:val="tkTekst"/>
        <w:spacing w:after="0" w:line="240" w:lineRule="auto"/>
        <w:ind w:left="142" w:firstLine="425"/>
      </w:pPr>
      <w:r w:rsidRPr="00827FA8">
        <w:t>Основными принципами корпоративного управления ОАО «Оптима Банк» (далее Банк) являются:</w:t>
      </w:r>
    </w:p>
    <w:p w:rsidR="00111EA6" w:rsidRPr="00827FA8" w:rsidRDefault="00111EA6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 xml:space="preserve">Принцип обеспечения прав акционеров Банка; </w:t>
      </w:r>
    </w:p>
    <w:p w:rsidR="00111EA6" w:rsidRPr="00827FA8" w:rsidRDefault="00111EA6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Принцип равенства акционеров Банка;</w:t>
      </w:r>
    </w:p>
    <w:p w:rsidR="00111EA6" w:rsidRPr="00827FA8" w:rsidRDefault="00111EA6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Принцип подотчетности и эффективности деятельности Совета директоров и Правления Банка;</w:t>
      </w:r>
    </w:p>
    <w:p w:rsidR="00111EA6" w:rsidRPr="00827FA8" w:rsidRDefault="00111EA6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Принцип информационной открытости и прозрачности деятельности Банка;</w:t>
      </w:r>
    </w:p>
    <w:p w:rsidR="00111EA6" w:rsidRPr="00827FA8" w:rsidRDefault="00111EA6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Принцип сотрудничества Банка с заинтересованными лицами;</w:t>
      </w:r>
    </w:p>
    <w:p w:rsidR="00111EA6" w:rsidRPr="00827FA8" w:rsidRDefault="00111EA6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Принцип законности и ответственности Банка;</w:t>
      </w:r>
    </w:p>
    <w:p w:rsidR="000C6956" w:rsidRPr="00827FA8" w:rsidRDefault="00111EA6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Принцип подконтрольности деятельности Банка.</w:t>
      </w:r>
    </w:p>
    <w:p w:rsidR="00111EA6" w:rsidRPr="00827FA8" w:rsidRDefault="00111EA6" w:rsidP="00A4330F">
      <w:pPr>
        <w:pStyle w:val="tkTekst"/>
        <w:spacing w:after="0" w:line="240" w:lineRule="auto"/>
        <w:ind w:left="142" w:firstLine="425"/>
      </w:pPr>
      <w:r w:rsidRPr="00827FA8">
        <w:t xml:space="preserve">Органами, образующими систему корпоративного управления Банка, являются: Общее собрание акционеров, Совет директоров Банка, Правление Банка. Органы корпоративного управления Банка осуществляют свою деятельность на основании Устава Банка, Положения о соответствующем органе корпоративного управления и Кодекса корпоративного управления. </w:t>
      </w:r>
    </w:p>
    <w:p w:rsidR="00111EA6" w:rsidRPr="00827FA8" w:rsidRDefault="00111EA6" w:rsidP="00A4330F">
      <w:pPr>
        <w:pStyle w:val="tkTekst"/>
        <w:spacing w:after="0" w:line="240" w:lineRule="auto"/>
        <w:ind w:left="142" w:firstLine="425"/>
      </w:pPr>
      <w:r w:rsidRPr="00827FA8">
        <w:t>В систему внутреннего контроля финансово-хозяйственной деятельности Банка входят Комитет по аудиту, подразделение внутреннего аудита, а также внешний аудитор.</w:t>
      </w:r>
    </w:p>
    <w:p w:rsidR="00111EA6" w:rsidRPr="00827FA8" w:rsidRDefault="00111EA6" w:rsidP="00A4330F">
      <w:pPr>
        <w:pStyle w:val="tkTekst"/>
        <w:spacing w:after="0" w:line="240" w:lineRule="auto"/>
        <w:ind w:left="142" w:firstLine="425"/>
        <w:rPr>
          <w:b/>
        </w:rPr>
      </w:pPr>
      <w:r w:rsidRPr="00827FA8">
        <w:rPr>
          <w:b/>
        </w:rPr>
        <w:t>Общее собрание акционеров</w:t>
      </w:r>
    </w:p>
    <w:p w:rsidR="00360ABC" w:rsidRPr="00827FA8" w:rsidRDefault="00360ABC" w:rsidP="00A4330F">
      <w:pPr>
        <w:pStyle w:val="tkTekst"/>
        <w:spacing w:after="0" w:line="240" w:lineRule="auto"/>
        <w:ind w:left="142" w:firstLine="425"/>
      </w:pPr>
      <w:r w:rsidRPr="00827FA8">
        <w:t xml:space="preserve">Общее собрание акционеров Банка является высшим органом управления Банком. </w:t>
      </w:r>
    </w:p>
    <w:p w:rsidR="00360ABC" w:rsidRPr="00827FA8" w:rsidRDefault="00360ABC" w:rsidP="00A4330F">
      <w:pPr>
        <w:pStyle w:val="tkTekst"/>
        <w:spacing w:after="0" w:line="240" w:lineRule="auto"/>
        <w:ind w:left="142" w:firstLine="425"/>
      </w:pPr>
      <w:r w:rsidRPr="00827FA8">
        <w:t>В своей деятельности Общее собрание акционеров руководствуется законодательством Кыргызской Республики, Уставом Банка, Кодексом</w:t>
      </w:r>
      <w:r w:rsidR="001B063B" w:rsidRPr="00827FA8">
        <w:t xml:space="preserve"> корпоративного управления Банка</w:t>
      </w:r>
      <w:r w:rsidRPr="00827FA8">
        <w:t xml:space="preserve"> и принятыми на их основе внутренними нормативными документами Банка. </w:t>
      </w:r>
    </w:p>
    <w:p w:rsidR="001B063B" w:rsidRPr="00827FA8" w:rsidRDefault="00360ABC" w:rsidP="00A4330F">
      <w:pPr>
        <w:pStyle w:val="tkTekst"/>
        <w:spacing w:after="0" w:line="240" w:lineRule="auto"/>
        <w:ind w:left="142" w:firstLine="425"/>
      </w:pPr>
      <w:r w:rsidRPr="00827FA8">
        <w:t>Устав Банка определяет регламент и процедуру проведения Общего собрания акционеров.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  <w:rPr>
          <w:b/>
        </w:rPr>
      </w:pPr>
      <w:r w:rsidRPr="00827FA8">
        <w:rPr>
          <w:b/>
        </w:rPr>
        <w:t>Совет директоров Банка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 xml:space="preserve">Совет директоров является органом управления Банка, осуществляющим общее руководство его деятельностью, за исключением решения вопросов, отнесенных законодательством Кыргызской Республики и Уставом Банка к компетенции Общего собрания акционеров и Правления Банка. 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 xml:space="preserve">В своей деятельности Совет директоров руководствуется законодательством Кыргызской Республики, Уставом Банка, настоящим Кодексом и принятым на их основе Положением о Совете директоров. </w:t>
      </w:r>
    </w:p>
    <w:p w:rsidR="001B063B" w:rsidRPr="007C36DB" w:rsidRDefault="00F141C9" w:rsidP="00A4330F">
      <w:pPr>
        <w:pStyle w:val="tkTekst"/>
        <w:spacing w:after="0" w:line="240" w:lineRule="auto"/>
        <w:ind w:left="142" w:firstLine="425"/>
      </w:pPr>
      <w:r>
        <w:t xml:space="preserve">  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Главными задачами Совета директоров является создание условий для получения Банком максимальной прибыли и увеличения его активов, осуществление контроля за исполнением решений Общего собрания акционеров и обеспечение защиты прав и законных интересов всех групп акционеров Банка в целом, путем осуществления постоянного наблюдения и контроля за управлением Банком другими его органами управления.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В целях достижения поставленных перед ним задач, Совет директоров выполняет следующие функции: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Определение приоритетных направлений развития Банка;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Обеспечение эффективной деятельности Правления Банка, в том числе посредством осуществления контроля за его деятельностью;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Объективная оценка с учетом рыночной ситуации, финансового состояния Банка и других факторов, оказывающих влияние на его финансово-хозяйственную деятельность и одобрение годового финансового плана;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Обеспечение в Банке эффективной системы внутреннего контроля за его финансово-хозяйственной деятельностью;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Создание системы управления рисками, которая позволила бы оценить риски, с которыми сталкивается Банк в процессе осуществления своей деятельности, и минимизировать негативные последствия таких рисков;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Обеспечение соблюдения существующих в Банке процедур, в рамках которых осуществляется реализация прав акционеров;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Содействие разрешению корпоративных конфликтов в Банке;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  <w:jc w:val="left"/>
      </w:pPr>
      <w:r w:rsidRPr="00827FA8">
        <w:t>–</w:t>
      </w:r>
      <w:r w:rsidRPr="00827FA8">
        <w:tab/>
        <w:t>Обеспечение раскрытия акционерам достоверной информации о деятельности Банка.</w:t>
      </w:r>
    </w:p>
    <w:p w:rsidR="00D24CEB" w:rsidRPr="00827FA8" w:rsidRDefault="00D24CEB" w:rsidP="00A4330F">
      <w:pPr>
        <w:pStyle w:val="tkTekst"/>
        <w:spacing w:after="0" w:line="240" w:lineRule="auto"/>
        <w:ind w:left="142" w:firstLine="425"/>
      </w:pPr>
      <w:r w:rsidRPr="00827FA8">
        <w:t>Для выполнения своих функций Совет директоров Банка может создавать комитеты и иные вспомогательные экспертно-консультативные органы. Комитеты Совета директоров создаются для предварительного рассмотрения вопросов, отнесенных к компетенции Совета директоров, и выработки для них рекомендаций. Комитеты не являются органами управления Банка, не могут заменять Совет директоров и выполнять их функции</w:t>
      </w:r>
    </w:p>
    <w:p w:rsidR="001B063B" w:rsidRPr="00827FA8" w:rsidRDefault="00D24CEB" w:rsidP="00A4330F">
      <w:pPr>
        <w:pStyle w:val="tkTekst"/>
        <w:spacing w:after="0" w:line="240" w:lineRule="auto"/>
        <w:ind w:left="142" w:firstLine="425"/>
      </w:pPr>
      <w:r w:rsidRPr="00827FA8">
        <w:t>В обязательном порядке, в составе Совета директоров создаются следующие комитеты: Комитет по управлению рисками; Комитет по аудиту; Комитет по назначениям и вознаграждениям.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  <w:rPr>
          <w:b/>
        </w:rPr>
      </w:pPr>
      <w:r w:rsidRPr="00827FA8">
        <w:rPr>
          <w:b/>
        </w:rPr>
        <w:t>Правление Банка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 xml:space="preserve">Правление Банка (или Правление) является коллегиальным исполнительным органом управления Банка, к компетенции которого относятся вопросы, связанные с руководством текущей деятельностью Банка, за исключением вопросов, отнесенных к исключительной компетенции Общего собрания акционеров и Совета директоров Банка. 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lastRenderedPageBreak/>
        <w:t xml:space="preserve">В своей деятельности Правление руководствуется законодательством Кыргызской Республики, Уставом Банка, настоящим Кодексом и принятым на их основе Положением о Правлении. </w:t>
      </w:r>
    </w:p>
    <w:p w:rsidR="001B063B" w:rsidRPr="00827FA8" w:rsidRDefault="00D24CEB" w:rsidP="00A4330F">
      <w:pPr>
        <w:pStyle w:val="tkTekst"/>
        <w:spacing w:after="0" w:line="240" w:lineRule="auto"/>
        <w:ind w:left="142" w:firstLine="425"/>
      </w:pPr>
      <w:r w:rsidRPr="00827FA8">
        <w:t xml:space="preserve">Члены Правления назначаются на срок, предусмотренный уставом банка, но не более пяти лет. </w:t>
      </w:r>
      <w:r w:rsidR="001B063B" w:rsidRPr="00827FA8">
        <w:t>Правление действует в соответствии с финансовыми планами Банка, ежегодно составляемыми Советом директоров Банка и утверждаемыми Общим собранием акционеров. Данный документ является руководством при осуществлении текущей деятельности Банка, а его исполнение – главным критерием оценки эффективности деятельности Правления, ответственного за руководство текущей деятельностью Банка.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Правление подотчетно Совету директоров и Общему собранию акционеров Банка.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 xml:space="preserve">Основными задачами, которые Правление Банка решает для реализации поставленных перед ним целей являются: 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Разработка и реализация финансового плана Банка как финансового института, формирование финансовых показателей деятельности Банка.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Поддержание устойчивого финансового положения Банка, управление банковскими рисками.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Совершенствование банковских операций и технологий, направленных на повышение доходов Банка, а также направленных на сбережение средств, ликвидацию убытков и сокращение неоправданных затрат.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Развитие и укрепление материально-технической базы Банка, в том числе внедрение новых банковских технологий, современных средств телекоммуникации и автоматизации.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Принятие необходимых мер по защите интересов и капиталов акционеров, клиентов и самого Банка.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–</w:t>
      </w:r>
      <w:r w:rsidRPr="00827FA8">
        <w:tab/>
        <w:t>Осуществление мероприятий по повышению квалификации работников Банка, создание условий для эффективного и безопасного труда.</w:t>
      </w:r>
    </w:p>
    <w:p w:rsidR="001B063B" w:rsidRPr="00827FA8" w:rsidRDefault="001B063B" w:rsidP="00A4330F">
      <w:pPr>
        <w:pStyle w:val="tkTekst"/>
        <w:spacing w:after="0" w:line="240" w:lineRule="auto"/>
        <w:ind w:left="142" w:firstLine="425"/>
        <w:jc w:val="left"/>
      </w:pPr>
      <w:r w:rsidRPr="00827FA8">
        <w:t>–</w:t>
      </w:r>
      <w:r w:rsidRPr="00827FA8">
        <w:tab/>
        <w:t>Анализ финансовых рынков, рынков банковских услуг и инвестиций в целях прибыльного вложения капитала Банка и проведение, как среди персонала Банка, так и во внешней деятельности политики расширения объема оказываемых услуг и освоения перспективных сфер вложения капитала.</w:t>
      </w:r>
    </w:p>
    <w:p w:rsidR="001B063B" w:rsidRPr="00827FA8" w:rsidRDefault="001B063B" w:rsidP="007C36DB">
      <w:pPr>
        <w:spacing w:after="0" w:line="240" w:lineRule="auto"/>
        <w:ind w:left="142" w:firstLine="425"/>
        <w:outlineLvl w:val="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27FA8">
        <w:rPr>
          <w:rFonts w:ascii="Arial" w:hAnsi="Arial" w:cs="Arial"/>
          <w:b/>
          <w:sz w:val="20"/>
          <w:szCs w:val="20"/>
        </w:rPr>
        <w:t>Комитет по аудиту, подразделение внутреннего аудита и внешний аудит Банка</w:t>
      </w:r>
    </w:p>
    <w:p w:rsidR="00BA196E" w:rsidRPr="00827FA8" w:rsidRDefault="001B063B" w:rsidP="00A4330F">
      <w:pPr>
        <w:pStyle w:val="tkTekst"/>
        <w:spacing w:after="0" w:line="240" w:lineRule="auto"/>
        <w:ind w:left="142" w:firstLine="425"/>
      </w:pPr>
      <w:r w:rsidRPr="00827FA8">
        <w:t>В Банке создана и действует эффективная система контроля за его финансово-хозяйственной деятельностью, которая позволяет Банку на постоянной основе опознавать и оценивать материальные и финансовые риски, которые могут неблагоприятно влиять на достижение целей Банка. В систему внутреннего контроля Банка входят Комитет по аудиту, подразделение внутреннего аудита, а также внешний аудитор, привлекаемый Банком для аудиторской проверки деятельности Банка по итогам года.</w:t>
      </w:r>
    </w:p>
    <w:p w:rsidR="00BA196E" w:rsidRPr="00827FA8" w:rsidRDefault="00BA196E" w:rsidP="00A4330F">
      <w:pPr>
        <w:spacing w:after="0" w:line="240" w:lineRule="auto"/>
        <w:ind w:left="142" w:firstLine="425"/>
        <w:outlineLvl w:val="0"/>
        <w:rPr>
          <w:rFonts w:ascii="Arial" w:hAnsi="Arial" w:cs="Arial"/>
          <w:b/>
          <w:sz w:val="20"/>
          <w:szCs w:val="20"/>
        </w:rPr>
      </w:pPr>
      <w:r w:rsidRPr="00827FA8">
        <w:rPr>
          <w:rFonts w:ascii="Arial" w:hAnsi="Arial" w:cs="Arial"/>
          <w:b/>
          <w:sz w:val="20"/>
          <w:szCs w:val="20"/>
        </w:rPr>
        <w:t>Комитет по управлению рисками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Целью Комитета является содействие СД в определении приоритетных направлений деятельности банка в области банковских рисков и содействие в создании условий для надлежащего управления рисками.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В компетенцию Комитета по рискам, как минимум, входят: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1) Оценка эффективности действующей системы управления рисками: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- анализ внутренних документов банка, регламентирующих процесс управления рисками;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- анализ достаточности управленческой отчетности по рискам;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- анализ достаточности информационной поддержки процесса управления рисками;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- сравнение планов в области управления рисками с достигнутыми результатами;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- сравнение с лучшей международной практикой в области управления рисками.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2) Рассмотрение: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- политики и положения по управлению банковскими рисками, вносимых исполнительным органом на утверждение Совета директоров;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- регулярные отчеты по существенным (значимым) видам рисков, состояние банковских лимитов, результатов стресс-тестирования.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3) Взаимодействие со структурными подразделениями, ответственными за построение и реализацию системы управления рисками, проведение переговоров/встреч/совещаний с внутренним и внешним аудитом по вопросам управления рисками в банке.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4) Разработка/подготовка рекомендаций для Совета директоров банка: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- по повышению эффективности действующих систем управления рискам;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- по политике ограничения рисков по всем банковским операциям и другим сделкам банка;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- по иным существенным вопросам в области управления рисками.</w:t>
      </w:r>
    </w:p>
    <w:p w:rsidR="00D304DD" w:rsidRDefault="00BA196E" w:rsidP="00A4330F">
      <w:pPr>
        <w:pStyle w:val="tkTekst"/>
        <w:spacing w:after="0" w:line="240" w:lineRule="auto"/>
        <w:ind w:left="142" w:firstLine="425"/>
      </w:pPr>
      <w:r w:rsidRPr="00827FA8">
        <w:t>5) Доведение до сведения Совета директоров банка информации обо всех значимых для банка банковских рисках, включая вопросов, имеющих особое значение.</w:t>
      </w:r>
    </w:p>
    <w:p w:rsidR="00A4330F" w:rsidRPr="00A4330F" w:rsidRDefault="00A4330F" w:rsidP="00A4330F">
      <w:pPr>
        <w:pStyle w:val="tkTekst"/>
        <w:spacing w:after="0" w:line="240" w:lineRule="auto"/>
        <w:ind w:left="142" w:firstLine="425"/>
      </w:pPr>
      <w:r w:rsidRPr="00A4330F">
        <w:t>6) Корпоративный секретарь в обязательном порядке должен вести стенографический протокол (подробный письменный текст выступлений участников) заседаний Совета директоров банка и осуществлять подготовку протоколов по результатам в том числе голосования путем письменного опроса и с испол</w:t>
      </w:r>
      <w:r>
        <w:t>ьзованием средств коммуникаций.</w:t>
      </w:r>
      <w:r w:rsidRPr="00A4330F">
        <w:t xml:space="preserve"> Корпоративный секретарь в обязательном порядке должен ознакомить с подписанным протоколом всех членов Совета директоров, в том числе путем использования средств коммуникаций.</w:t>
      </w:r>
    </w:p>
    <w:p w:rsidR="00BA196E" w:rsidRPr="00827FA8" w:rsidRDefault="00BA196E" w:rsidP="00A4330F">
      <w:pPr>
        <w:spacing w:after="0" w:line="240" w:lineRule="auto"/>
        <w:ind w:firstLine="567"/>
        <w:outlineLvl w:val="0"/>
        <w:rPr>
          <w:rFonts w:ascii="Arial" w:hAnsi="Arial" w:cs="Arial"/>
          <w:b/>
          <w:sz w:val="20"/>
          <w:szCs w:val="20"/>
        </w:rPr>
      </w:pPr>
      <w:r w:rsidRPr="00827FA8">
        <w:rPr>
          <w:rFonts w:ascii="Arial" w:hAnsi="Arial" w:cs="Arial"/>
          <w:b/>
          <w:sz w:val="20"/>
          <w:szCs w:val="20"/>
        </w:rPr>
        <w:t>Комитет по назначениям и вознаграждениям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lastRenderedPageBreak/>
        <w:t>Комитет по назначениям и вознаграждениям создается в банке независимо от осуществляемых видов деятельности для повышения эффективности работы Совета директоров банка и оптимизация принимаемых им решений.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 xml:space="preserve"> Деятельность Комитета должна быть направлена на усиление контроля за назначениями и вознаграждениями членов Правления, руководителей и сотрудников служб внутреннего аудита, риск-менеджмента и комплаенс-контроля.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 xml:space="preserve">Комитет по назначениям и вознаграждениям определяет уровень выплачиваемого банком вознаграждения, который должен быть достаточным для привлечения, мотивации и удержания лиц, обладающих необходимой для банка компетенцией и квалификацией, при этом уровень выплачиваемого банком вознаграждения не должен привести к убыточной деятельности. </w:t>
      </w:r>
    </w:p>
    <w:p w:rsidR="00BA196E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Комитет дает рекомендации Совету директоров по кандидатурам для включения в состав Совета директоров, Правления и ключевых должностей (руководителей служб внутреннего аудита, риск-менеджмента и комплаенс-контроля) с учетом требований, установленных Национальным банком.</w:t>
      </w:r>
    </w:p>
    <w:p w:rsidR="00D304DD" w:rsidRPr="00827FA8" w:rsidRDefault="00BA196E" w:rsidP="00A4330F">
      <w:pPr>
        <w:pStyle w:val="tkTekst"/>
        <w:spacing w:after="0" w:line="240" w:lineRule="auto"/>
        <w:ind w:left="142" w:firstLine="425"/>
      </w:pPr>
      <w:r w:rsidRPr="00827FA8">
        <w:t>Комитет рассматривает кандидатуры на должность Корпоративного секретаря, оценивает соответствие кандидатур установленным требованиям и представляет свои рекомендации Совету директоров.</w:t>
      </w:r>
      <w:bookmarkStart w:id="1" w:name="_Toc493594433"/>
    </w:p>
    <w:p w:rsidR="00750D81" w:rsidRPr="00827FA8" w:rsidRDefault="00750D81" w:rsidP="00A4330F">
      <w:pPr>
        <w:spacing w:after="0" w:line="240" w:lineRule="auto"/>
        <w:ind w:left="142" w:firstLine="425"/>
        <w:outlineLvl w:val="0"/>
        <w:rPr>
          <w:rFonts w:ascii="Arial" w:hAnsi="Arial" w:cs="Arial"/>
          <w:b/>
          <w:sz w:val="20"/>
          <w:szCs w:val="20"/>
        </w:rPr>
      </w:pPr>
      <w:r w:rsidRPr="00827FA8">
        <w:rPr>
          <w:rFonts w:ascii="Arial" w:hAnsi="Arial" w:cs="Arial"/>
          <w:b/>
          <w:sz w:val="20"/>
          <w:szCs w:val="20"/>
        </w:rPr>
        <w:t>Корпоративный секретарь</w:t>
      </w:r>
      <w:bookmarkEnd w:id="1"/>
      <w:r w:rsidRPr="00827FA8">
        <w:rPr>
          <w:rFonts w:ascii="Arial" w:hAnsi="Arial" w:cs="Arial"/>
          <w:b/>
          <w:sz w:val="20"/>
          <w:szCs w:val="20"/>
        </w:rPr>
        <w:t xml:space="preserve"> </w:t>
      </w:r>
    </w:p>
    <w:p w:rsidR="00750D81" w:rsidRPr="00827FA8" w:rsidRDefault="00750D81" w:rsidP="00A4330F">
      <w:pPr>
        <w:pStyle w:val="a5"/>
        <w:spacing w:after="0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827FA8">
        <w:rPr>
          <w:rFonts w:ascii="Arial" w:hAnsi="Arial" w:cs="Arial"/>
          <w:sz w:val="20"/>
          <w:szCs w:val="20"/>
        </w:rPr>
        <w:t>Корпоративный секретарь Банка обеспечивает и организовывает работу (заседаний и делопроизводство) Общего собрания акционеров и Совета директоров Банка. Корпоративный секретарь является должностным лицом Банка, избирается и освобождается от должности решением Совета директоров Банка.</w:t>
      </w:r>
    </w:p>
    <w:p w:rsidR="00750D81" w:rsidRPr="00827FA8" w:rsidRDefault="00750D81" w:rsidP="00A4330F">
      <w:pPr>
        <w:pStyle w:val="a5"/>
        <w:spacing w:after="0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827FA8">
        <w:rPr>
          <w:rFonts w:ascii="Arial" w:hAnsi="Arial" w:cs="Arial"/>
          <w:sz w:val="20"/>
          <w:szCs w:val="20"/>
        </w:rPr>
        <w:t xml:space="preserve">Корпоративный секретарь осуществляет свою деятельность в соответствии с Законом, нормативными правовыми актами Национального банка, Уставом Банка и внутренними нормативными актами Банка, а также решениями Общего собрания акционеров и Совета директоров Банка. Функциональные обязанности корпоративного секретаря определяются должностной инструкцией. </w:t>
      </w:r>
    </w:p>
    <w:p w:rsidR="00750D81" w:rsidRPr="00827FA8" w:rsidRDefault="00750D81" w:rsidP="00A4330F">
      <w:pPr>
        <w:pStyle w:val="a5"/>
        <w:spacing w:after="0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827FA8">
        <w:rPr>
          <w:rFonts w:ascii="Arial" w:hAnsi="Arial" w:cs="Arial"/>
          <w:sz w:val="20"/>
          <w:szCs w:val="20"/>
        </w:rPr>
        <w:t>Совмещение самостоятельной должности Корпоративного секретаря Банка с выполнением иных обязанностей в Банке допускается только с согласия Совета директоров банка. Корпоративный секретарь Банка обязан действовать добросовестно и разумно в наилучших интересах Банка, что предполагает соблюдение ими следующих фидуциарных обязанностей:</w:t>
      </w:r>
    </w:p>
    <w:p w:rsidR="00750D81" w:rsidRPr="00827FA8" w:rsidRDefault="00750D81" w:rsidP="00A4330F">
      <w:pPr>
        <w:pStyle w:val="a5"/>
        <w:spacing w:after="0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827FA8">
        <w:rPr>
          <w:rFonts w:ascii="Arial" w:hAnsi="Arial" w:cs="Arial"/>
          <w:sz w:val="20"/>
          <w:szCs w:val="20"/>
        </w:rPr>
        <w:t>1) выполнять свои полномочия с соблюдением требований банковского законодательства Кыргызской Республики, Устава Банка и внутренних нормативных актов Банка;</w:t>
      </w:r>
    </w:p>
    <w:p w:rsidR="00750D81" w:rsidRPr="00827FA8" w:rsidRDefault="00750D81" w:rsidP="00A4330F">
      <w:pPr>
        <w:pStyle w:val="a5"/>
        <w:spacing w:after="0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827FA8">
        <w:rPr>
          <w:rFonts w:ascii="Arial" w:hAnsi="Arial" w:cs="Arial"/>
          <w:sz w:val="20"/>
          <w:szCs w:val="20"/>
        </w:rPr>
        <w:t>2) использовать предоставленные ему полномочия;</w:t>
      </w:r>
    </w:p>
    <w:p w:rsidR="00750D81" w:rsidRPr="00827FA8" w:rsidRDefault="00750D81" w:rsidP="00A4330F">
      <w:pPr>
        <w:pStyle w:val="a5"/>
        <w:spacing w:after="0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827FA8">
        <w:rPr>
          <w:rFonts w:ascii="Arial" w:hAnsi="Arial" w:cs="Arial"/>
          <w:sz w:val="20"/>
          <w:szCs w:val="20"/>
        </w:rPr>
        <w:t>3) соблюдать принцип равенства в отношении к акционерам и к членам Совета директоров;</w:t>
      </w:r>
    </w:p>
    <w:p w:rsidR="00750D81" w:rsidRPr="00827FA8" w:rsidRDefault="00750D81" w:rsidP="00A4330F">
      <w:pPr>
        <w:pStyle w:val="a5"/>
        <w:spacing w:after="0"/>
        <w:ind w:left="142" w:firstLine="425"/>
        <w:jc w:val="both"/>
        <w:rPr>
          <w:rFonts w:ascii="Arial" w:hAnsi="Arial" w:cs="Arial"/>
          <w:sz w:val="20"/>
          <w:szCs w:val="20"/>
        </w:rPr>
      </w:pPr>
      <w:r w:rsidRPr="00827FA8">
        <w:rPr>
          <w:rFonts w:ascii="Arial" w:hAnsi="Arial" w:cs="Arial"/>
          <w:sz w:val="20"/>
          <w:szCs w:val="20"/>
        </w:rPr>
        <w:t>4) соответствовать требованиям безупречной деловой репутации в соответствии с законодательством Кыргызской Республики.</w:t>
      </w:r>
    </w:p>
    <w:p w:rsidR="00B240F2" w:rsidRDefault="00B240F2" w:rsidP="00B240F2">
      <w:pPr>
        <w:pStyle w:val="tkTekst"/>
        <w:spacing w:line="240" w:lineRule="auto"/>
        <w:ind w:left="142" w:firstLine="425"/>
      </w:pPr>
      <w:r w:rsidRPr="00B240F2">
        <w:t xml:space="preserve">5) </w:t>
      </w:r>
      <w:r>
        <w:t>Корпоративный секретарь в обязательном порядке должен вести стенографический протокол (подробный письменный текст выступлений участников) заседаний Совета директоров банка и осуществлять подготовку протоколов по результатам в том числе голосования путем письменного опроса и с использованием средств коммуникаций.</w:t>
      </w:r>
      <w:r w:rsidRPr="00B240F2">
        <w:t xml:space="preserve"> </w:t>
      </w:r>
      <w:r>
        <w:t>Корпоративный секретарь в обязательном порядке должен ознакомить с подписанным протоколом всех членов Совета директоров, в том числе путем использования средств коммуникаций.</w:t>
      </w:r>
    </w:p>
    <w:p w:rsidR="00750D81" w:rsidRPr="00827FA8" w:rsidRDefault="00750D81" w:rsidP="00A4330F">
      <w:pPr>
        <w:pStyle w:val="tkTekst"/>
        <w:spacing w:line="240" w:lineRule="auto"/>
        <w:ind w:left="142" w:firstLine="425"/>
      </w:pPr>
    </w:p>
    <w:sectPr w:rsidR="00750D81" w:rsidRPr="00827FA8" w:rsidSect="00A4330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EA6"/>
    <w:rsid w:val="00036510"/>
    <w:rsid w:val="000C6956"/>
    <w:rsid w:val="00111EA6"/>
    <w:rsid w:val="00124C4E"/>
    <w:rsid w:val="001B063B"/>
    <w:rsid w:val="001C4433"/>
    <w:rsid w:val="00360ABC"/>
    <w:rsid w:val="004B66E6"/>
    <w:rsid w:val="004E3FAC"/>
    <w:rsid w:val="005969CE"/>
    <w:rsid w:val="005F6326"/>
    <w:rsid w:val="00750D81"/>
    <w:rsid w:val="007A4B31"/>
    <w:rsid w:val="007C36DB"/>
    <w:rsid w:val="007E19D3"/>
    <w:rsid w:val="00827FA8"/>
    <w:rsid w:val="00922D51"/>
    <w:rsid w:val="00A4330F"/>
    <w:rsid w:val="00B240F2"/>
    <w:rsid w:val="00BA196E"/>
    <w:rsid w:val="00D24CEB"/>
    <w:rsid w:val="00D304DD"/>
    <w:rsid w:val="00F141C9"/>
    <w:rsid w:val="00FD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0528"/>
  <w15:docId w15:val="{41B50BC2-29C2-4520-9D43-3547B4C5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111EA6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22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D51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750D8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750D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2D2E2-8C49-4FA6-881A-6D909A65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Орозова Нургуль</dc:creator>
  <cp:keywords/>
  <dc:description/>
  <cp:lastModifiedBy>Мамырова Элнура</cp:lastModifiedBy>
  <cp:revision>17</cp:revision>
  <cp:lastPrinted>2023-04-26T07:48:00Z</cp:lastPrinted>
  <dcterms:created xsi:type="dcterms:W3CDTF">2016-03-31T06:00:00Z</dcterms:created>
  <dcterms:modified xsi:type="dcterms:W3CDTF">2024-01-23T05:03:00Z</dcterms:modified>
</cp:coreProperties>
</file>