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4FBC8" w14:textId="4D4D8C29" w:rsidR="004E35A9" w:rsidRPr="00D81AA0" w:rsidRDefault="004E35A9" w:rsidP="004E35A9">
      <w:pPr>
        <w:tabs>
          <w:tab w:val="left" w:pos="426"/>
          <w:tab w:val="left" w:pos="8931"/>
          <w:tab w:val="left" w:pos="10244"/>
        </w:tabs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1AA0">
        <w:rPr>
          <w:rFonts w:ascii="Times New Roman" w:hAnsi="Times New Roman" w:cs="Times New Roman"/>
          <w:b/>
          <w:bCs/>
          <w:sz w:val="24"/>
          <w:szCs w:val="24"/>
        </w:rPr>
        <w:t>Сведения о соблюдении ОАО «МФК «АБН» обязательных нормативов, установленных законодательством по состоянию на 3</w:t>
      </w:r>
      <w:r w:rsidR="004B50D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D81A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50D6">
        <w:rPr>
          <w:rFonts w:ascii="Times New Roman" w:hAnsi="Times New Roman" w:cs="Times New Roman"/>
          <w:b/>
          <w:bCs/>
          <w:sz w:val="24"/>
          <w:szCs w:val="24"/>
        </w:rPr>
        <w:t>июня</w:t>
      </w:r>
      <w:r w:rsidR="00A62420" w:rsidRPr="00A624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1AA0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C424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81AA0">
        <w:rPr>
          <w:rFonts w:ascii="Times New Roman" w:hAnsi="Times New Roman" w:cs="Times New Roman"/>
          <w:b/>
          <w:bCs/>
          <w:sz w:val="24"/>
          <w:szCs w:val="24"/>
        </w:rPr>
        <w:t xml:space="preserve"> года (за отчетный квартал):</w:t>
      </w:r>
    </w:p>
    <w:tbl>
      <w:tblPr>
        <w:tblStyle w:val="TableNormal1"/>
        <w:tblW w:w="956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101"/>
        <w:gridCol w:w="2643"/>
      </w:tblGrid>
      <w:tr w:rsidR="004B50D6" w:rsidRPr="004B50D6" w14:paraId="08CA420F" w14:textId="77777777" w:rsidTr="004B50D6">
        <w:trPr>
          <w:trHeight w:val="489"/>
          <w:tblHeader/>
        </w:trPr>
        <w:tc>
          <w:tcPr>
            <w:tcW w:w="4820" w:type="dxa"/>
            <w:shd w:val="clear" w:color="auto" w:fill="F2F2F2"/>
          </w:tcPr>
          <w:p w14:paraId="5266128F" w14:textId="77777777" w:rsidR="004B50D6" w:rsidRPr="004B50D6" w:rsidRDefault="004B50D6" w:rsidP="004B50D6">
            <w:pPr>
              <w:tabs>
                <w:tab w:val="left" w:pos="8931"/>
              </w:tabs>
              <w:spacing w:line="243" w:lineRule="exact"/>
              <w:ind w:left="142" w:right="1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0D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4B5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0D6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норматива</w:t>
            </w:r>
            <w:proofErr w:type="spellEnd"/>
          </w:p>
        </w:tc>
        <w:tc>
          <w:tcPr>
            <w:tcW w:w="2101" w:type="dxa"/>
            <w:shd w:val="clear" w:color="auto" w:fill="F2F2F2"/>
          </w:tcPr>
          <w:p w14:paraId="30E2CD72" w14:textId="77777777" w:rsidR="004B50D6" w:rsidRPr="004B50D6" w:rsidRDefault="004B50D6" w:rsidP="004B50D6">
            <w:pPr>
              <w:tabs>
                <w:tab w:val="left" w:pos="8931"/>
              </w:tabs>
              <w:spacing w:line="243" w:lineRule="exact"/>
              <w:ind w:left="142" w:right="1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0D6">
              <w:rPr>
                <w:rFonts w:ascii="Times New Roman" w:hAnsi="Times New Roman" w:cs="Times New Roman"/>
                <w:b/>
                <w:sz w:val="24"/>
                <w:szCs w:val="24"/>
              </w:rPr>
              <w:t>Размер</w:t>
            </w:r>
            <w:proofErr w:type="spellEnd"/>
            <w:r w:rsidRPr="004B5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0D6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норматива</w:t>
            </w:r>
            <w:proofErr w:type="spellEnd"/>
          </w:p>
        </w:tc>
        <w:tc>
          <w:tcPr>
            <w:tcW w:w="2643" w:type="dxa"/>
            <w:shd w:val="clear" w:color="auto" w:fill="F2F2F2"/>
          </w:tcPr>
          <w:p w14:paraId="07F05706" w14:textId="77777777" w:rsidR="004B50D6" w:rsidRPr="004B50D6" w:rsidRDefault="004B50D6" w:rsidP="004B50D6">
            <w:pPr>
              <w:tabs>
                <w:tab w:val="left" w:pos="8931"/>
              </w:tabs>
              <w:spacing w:line="243" w:lineRule="exact"/>
              <w:ind w:left="142" w:right="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50D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Значение на конец</w:t>
            </w:r>
          </w:p>
          <w:p w14:paraId="2A473508" w14:textId="77777777" w:rsidR="004B50D6" w:rsidRPr="004B50D6" w:rsidRDefault="004B50D6" w:rsidP="004B50D6">
            <w:pPr>
              <w:tabs>
                <w:tab w:val="left" w:pos="8931"/>
              </w:tabs>
              <w:spacing w:line="243" w:lineRule="exact"/>
              <w:ind w:left="142" w:right="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50D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отчетного квартала</w:t>
            </w:r>
          </w:p>
        </w:tc>
      </w:tr>
      <w:tr w:rsidR="004B50D6" w:rsidRPr="004B50D6" w14:paraId="28226312" w14:textId="77777777" w:rsidTr="0006280D">
        <w:trPr>
          <w:trHeight w:val="242"/>
        </w:trPr>
        <w:tc>
          <w:tcPr>
            <w:tcW w:w="4820" w:type="dxa"/>
            <w:tcBorders>
              <w:bottom w:val="single" w:sz="6" w:space="0" w:color="000000"/>
            </w:tcBorders>
            <w:vAlign w:val="center"/>
          </w:tcPr>
          <w:p w14:paraId="5254FE3C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val="ru-RU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 w:bidi="ar-SA"/>
              </w:rPr>
              <w:t xml:space="preserve">Минимальный размер оплаченного уставного капитала </w:t>
            </w:r>
          </w:p>
        </w:tc>
        <w:tc>
          <w:tcPr>
            <w:tcW w:w="2101" w:type="dxa"/>
            <w:tcBorders>
              <w:bottom w:val="single" w:sz="6" w:space="0" w:color="000000"/>
            </w:tcBorders>
            <w:vAlign w:val="center"/>
          </w:tcPr>
          <w:p w14:paraId="21AA13E6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400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млн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.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сом</w:t>
            </w:r>
            <w:proofErr w:type="spellEnd"/>
          </w:p>
        </w:tc>
        <w:tc>
          <w:tcPr>
            <w:tcW w:w="2643" w:type="dxa"/>
            <w:tcBorders>
              <w:bottom w:val="single" w:sz="6" w:space="0" w:color="000000"/>
            </w:tcBorders>
            <w:vAlign w:val="center"/>
          </w:tcPr>
          <w:p w14:paraId="14CA18B4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401,07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млн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.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сом</w:t>
            </w:r>
            <w:proofErr w:type="spellEnd"/>
          </w:p>
        </w:tc>
      </w:tr>
      <w:tr w:rsidR="004B50D6" w:rsidRPr="004B50D6" w14:paraId="76A9C915" w14:textId="77777777" w:rsidTr="0006280D">
        <w:trPr>
          <w:trHeight w:val="242"/>
        </w:trPr>
        <w:tc>
          <w:tcPr>
            <w:tcW w:w="4820" w:type="dxa"/>
            <w:tcBorders>
              <w:bottom w:val="single" w:sz="6" w:space="0" w:color="000000"/>
            </w:tcBorders>
            <w:vAlign w:val="center"/>
          </w:tcPr>
          <w:p w14:paraId="4A3F6D6C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val="ru-RU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 w:bidi="ar-SA"/>
              </w:rPr>
              <w:t>Норматив минимального собственного капитала (М1)</w:t>
            </w:r>
          </w:p>
        </w:tc>
        <w:tc>
          <w:tcPr>
            <w:tcW w:w="2101" w:type="dxa"/>
            <w:tcBorders>
              <w:bottom w:val="single" w:sz="6" w:space="0" w:color="000000"/>
            </w:tcBorders>
            <w:vAlign w:val="center"/>
          </w:tcPr>
          <w:p w14:paraId="7E55B7CD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не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менее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100%</w:t>
            </w:r>
          </w:p>
        </w:tc>
        <w:tc>
          <w:tcPr>
            <w:tcW w:w="2643" w:type="dxa"/>
            <w:tcBorders>
              <w:bottom w:val="single" w:sz="6" w:space="0" w:color="000000"/>
            </w:tcBorders>
            <w:vAlign w:val="center"/>
          </w:tcPr>
          <w:p w14:paraId="39791F12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y-KG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125,45%</w:t>
            </w:r>
          </w:p>
        </w:tc>
      </w:tr>
      <w:tr w:rsidR="004B50D6" w:rsidRPr="004B50D6" w14:paraId="37CCCCAD" w14:textId="77777777" w:rsidTr="0006280D">
        <w:trPr>
          <w:trHeight w:val="242"/>
        </w:trPr>
        <w:tc>
          <w:tcPr>
            <w:tcW w:w="4820" w:type="dxa"/>
            <w:tcBorders>
              <w:bottom w:val="single" w:sz="6" w:space="0" w:color="000000"/>
            </w:tcBorders>
            <w:vAlign w:val="center"/>
          </w:tcPr>
          <w:p w14:paraId="6A9418C5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Адекватность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(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достаточность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)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капитала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(М2)</w:t>
            </w:r>
          </w:p>
        </w:tc>
        <w:tc>
          <w:tcPr>
            <w:tcW w:w="2101" w:type="dxa"/>
            <w:tcBorders>
              <w:bottom w:val="single" w:sz="6" w:space="0" w:color="000000"/>
            </w:tcBorders>
            <w:vAlign w:val="center"/>
          </w:tcPr>
          <w:p w14:paraId="4E873E5E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не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менее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8%</w:t>
            </w:r>
          </w:p>
        </w:tc>
        <w:tc>
          <w:tcPr>
            <w:tcW w:w="2643" w:type="dxa"/>
            <w:tcBorders>
              <w:bottom w:val="single" w:sz="6" w:space="0" w:color="000000"/>
            </w:tcBorders>
            <w:vAlign w:val="center"/>
          </w:tcPr>
          <w:p w14:paraId="35707F34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y-KG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8,89%</w:t>
            </w:r>
          </w:p>
        </w:tc>
      </w:tr>
      <w:tr w:rsidR="004B50D6" w:rsidRPr="004B50D6" w14:paraId="253721DF" w14:textId="77777777" w:rsidTr="0006280D">
        <w:trPr>
          <w:trHeight w:val="242"/>
        </w:trPr>
        <w:tc>
          <w:tcPr>
            <w:tcW w:w="4820" w:type="dxa"/>
            <w:tcBorders>
              <w:bottom w:val="single" w:sz="6" w:space="0" w:color="000000"/>
            </w:tcBorders>
            <w:vAlign w:val="center"/>
          </w:tcPr>
          <w:p w14:paraId="46D4DA12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 w:bidi="ar-SA"/>
              </w:rPr>
              <w:t>Адекватность (достаточность) суммарного капитала (М2-1)</w:t>
            </w:r>
          </w:p>
        </w:tc>
        <w:tc>
          <w:tcPr>
            <w:tcW w:w="2101" w:type="dxa"/>
            <w:tcBorders>
              <w:bottom w:val="single" w:sz="6" w:space="0" w:color="000000"/>
            </w:tcBorders>
            <w:vAlign w:val="center"/>
          </w:tcPr>
          <w:p w14:paraId="6EBEBA7B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не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менее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9%</w:t>
            </w:r>
          </w:p>
        </w:tc>
        <w:tc>
          <w:tcPr>
            <w:tcW w:w="2643" w:type="dxa"/>
            <w:tcBorders>
              <w:bottom w:val="single" w:sz="6" w:space="0" w:color="000000"/>
            </w:tcBorders>
            <w:vAlign w:val="center"/>
          </w:tcPr>
          <w:p w14:paraId="2604E7A3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10,82%</w:t>
            </w:r>
          </w:p>
        </w:tc>
      </w:tr>
      <w:tr w:rsidR="004B50D6" w:rsidRPr="004B50D6" w14:paraId="3892166D" w14:textId="77777777" w:rsidTr="0006280D">
        <w:trPr>
          <w:trHeight w:val="242"/>
        </w:trPr>
        <w:tc>
          <w:tcPr>
            <w:tcW w:w="4820" w:type="dxa"/>
            <w:tcBorders>
              <w:bottom w:val="single" w:sz="6" w:space="0" w:color="000000"/>
            </w:tcBorders>
            <w:vAlign w:val="center"/>
          </w:tcPr>
          <w:p w14:paraId="4F1B30B1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val="ru-RU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 w:bidi="ar-SA"/>
              </w:rPr>
              <w:t>Норматив максимальный размер риска на одного заемщика (М3)</w:t>
            </w:r>
          </w:p>
        </w:tc>
        <w:tc>
          <w:tcPr>
            <w:tcW w:w="2101" w:type="dxa"/>
            <w:tcBorders>
              <w:bottom w:val="single" w:sz="6" w:space="0" w:color="000000"/>
            </w:tcBorders>
            <w:vAlign w:val="center"/>
          </w:tcPr>
          <w:p w14:paraId="6127D77B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не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более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5%</w:t>
            </w:r>
          </w:p>
        </w:tc>
        <w:tc>
          <w:tcPr>
            <w:tcW w:w="2643" w:type="dxa"/>
            <w:tcBorders>
              <w:bottom w:val="single" w:sz="6" w:space="0" w:color="000000"/>
            </w:tcBorders>
            <w:vAlign w:val="center"/>
          </w:tcPr>
          <w:p w14:paraId="50827A13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y-KG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4,00%</w:t>
            </w:r>
          </w:p>
        </w:tc>
      </w:tr>
      <w:tr w:rsidR="004B50D6" w:rsidRPr="004B50D6" w14:paraId="2BC70367" w14:textId="77777777" w:rsidTr="0006280D">
        <w:trPr>
          <w:trHeight w:val="242"/>
        </w:trPr>
        <w:tc>
          <w:tcPr>
            <w:tcW w:w="4820" w:type="dxa"/>
            <w:tcBorders>
              <w:bottom w:val="single" w:sz="6" w:space="0" w:color="000000"/>
            </w:tcBorders>
            <w:vAlign w:val="center"/>
          </w:tcPr>
          <w:p w14:paraId="5773202C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 w:bidi="ar-SA"/>
              </w:rPr>
              <w:t>Максимальный совокупный размер микрокредита, выдаваемого одному и тому же лицу, МФК, занимающихся оптовым финансированием</w:t>
            </w:r>
          </w:p>
        </w:tc>
        <w:tc>
          <w:tcPr>
            <w:tcW w:w="2101" w:type="dxa"/>
            <w:tcBorders>
              <w:bottom w:val="single" w:sz="6" w:space="0" w:color="000000"/>
            </w:tcBorders>
            <w:vAlign w:val="center"/>
          </w:tcPr>
          <w:p w14:paraId="76A62A3F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не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более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20%</w:t>
            </w:r>
          </w:p>
          <w:p w14:paraId="5FAFB32A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2643" w:type="dxa"/>
            <w:tcBorders>
              <w:bottom w:val="single" w:sz="6" w:space="0" w:color="000000"/>
            </w:tcBorders>
            <w:vAlign w:val="center"/>
          </w:tcPr>
          <w:p w14:paraId="72792AE5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1.71%</w:t>
            </w:r>
          </w:p>
          <w:p w14:paraId="2D6F8ED3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</w:tr>
      <w:tr w:rsidR="004B50D6" w:rsidRPr="004B50D6" w14:paraId="7E6F52F3" w14:textId="77777777" w:rsidTr="0006280D">
        <w:trPr>
          <w:trHeight w:val="242"/>
        </w:trPr>
        <w:tc>
          <w:tcPr>
            <w:tcW w:w="4820" w:type="dxa"/>
            <w:tcBorders>
              <w:bottom w:val="single" w:sz="6" w:space="0" w:color="000000"/>
            </w:tcBorders>
            <w:vAlign w:val="center"/>
          </w:tcPr>
          <w:p w14:paraId="0CDA5C97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Норматив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ликвидности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(М4)</w:t>
            </w:r>
          </w:p>
        </w:tc>
        <w:tc>
          <w:tcPr>
            <w:tcW w:w="2101" w:type="dxa"/>
            <w:tcBorders>
              <w:bottom w:val="single" w:sz="6" w:space="0" w:color="000000"/>
            </w:tcBorders>
            <w:vAlign w:val="center"/>
          </w:tcPr>
          <w:p w14:paraId="301EBBFD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не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менее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30%</w:t>
            </w:r>
          </w:p>
        </w:tc>
        <w:tc>
          <w:tcPr>
            <w:tcW w:w="2643" w:type="dxa"/>
            <w:tcBorders>
              <w:bottom w:val="single" w:sz="6" w:space="0" w:color="000000"/>
            </w:tcBorders>
            <w:vAlign w:val="center"/>
          </w:tcPr>
          <w:p w14:paraId="261E960E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y-KG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162,40%</w:t>
            </w:r>
          </w:p>
        </w:tc>
      </w:tr>
      <w:tr w:rsidR="004B50D6" w:rsidRPr="004B50D6" w14:paraId="7D1B2B84" w14:textId="77777777" w:rsidTr="0006280D">
        <w:trPr>
          <w:trHeight w:val="242"/>
        </w:trPr>
        <w:tc>
          <w:tcPr>
            <w:tcW w:w="4820" w:type="dxa"/>
            <w:tcBorders>
              <w:bottom w:val="single" w:sz="6" w:space="0" w:color="000000"/>
            </w:tcBorders>
            <w:vAlign w:val="center"/>
          </w:tcPr>
          <w:p w14:paraId="0FCE3981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val="ru-RU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 w:bidi="ar-SA"/>
              </w:rPr>
              <w:t>Норматив ограничения риска по возврату вкладов (М5)</w:t>
            </w:r>
          </w:p>
        </w:tc>
        <w:tc>
          <w:tcPr>
            <w:tcW w:w="2101" w:type="dxa"/>
            <w:tcBorders>
              <w:bottom w:val="single" w:sz="6" w:space="0" w:color="000000"/>
            </w:tcBorders>
            <w:vAlign w:val="center"/>
          </w:tcPr>
          <w:p w14:paraId="7580BBD6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не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менее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100%. </w:t>
            </w:r>
          </w:p>
        </w:tc>
        <w:tc>
          <w:tcPr>
            <w:tcW w:w="2643" w:type="dxa"/>
            <w:tcBorders>
              <w:bottom w:val="single" w:sz="6" w:space="0" w:color="000000"/>
            </w:tcBorders>
            <w:vAlign w:val="center"/>
          </w:tcPr>
          <w:p w14:paraId="66B306DD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y-KG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123,00%</w:t>
            </w:r>
          </w:p>
        </w:tc>
      </w:tr>
      <w:tr w:rsidR="004B50D6" w:rsidRPr="004B50D6" w14:paraId="3D9EB52C" w14:textId="77777777" w:rsidTr="0006280D">
        <w:trPr>
          <w:trHeight w:val="242"/>
        </w:trPr>
        <w:tc>
          <w:tcPr>
            <w:tcW w:w="4820" w:type="dxa"/>
            <w:tcBorders>
              <w:bottom w:val="single" w:sz="6" w:space="0" w:color="000000"/>
            </w:tcBorders>
            <w:vAlign w:val="center"/>
          </w:tcPr>
          <w:p w14:paraId="166161FD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val="ru-RU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 w:bidi="ar-SA"/>
              </w:rPr>
              <w:t>Максимальный размер риска по операциям с аффилированными и связанными лицами</w:t>
            </w:r>
          </w:p>
        </w:tc>
        <w:tc>
          <w:tcPr>
            <w:tcW w:w="2101" w:type="dxa"/>
            <w:tcBorders>
              <w:bottom w:val="single" w:sz="6" w:space="0" w:color="000000"/>
            </w:tcBorders>
            <w:vAlign w:val="center"/>
          </w:tcPr>
          <w:p w14:paraId="30F8E447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не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более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60% </w:t>
            </w:r>
          </w:p>
        </w:tc>
        <w:tc>
          <w:tcPr>
            <w:tcW w:w="2643" w:type="dxa"/>
            <w:tcBorders>
              <w:bottom w:val="single" w:sz="6" w:space="0" w:color="000000"/>
            </w:tcBorders>
            <w:vAlign w:val="center"/>
          </w:tcPr>
          <w:p w14:paraId="575A4891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y-KG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0,88%</w:t>
            </w:r>
          </w:p>
        </w:tc>
      </w:tr>
      <w:tr w:rsidR="004B50D6" w:rsidRPr="004B50D6" w14:paraId="75B2E073" w14:textId="77777777" w:rsidTr="0006280D">
        <w:trPr>
          <w:trHeight w:val="242"/>
        </w:trPr>
        <w:tc>
          <w:tcPr>
            <w:tcW w:w="4820" w:type="dxa"/>
            <w:tcBorders>
              <w:bottom w:val="single" w:sz="6" w:space="0" w:color="000000"/>
            </w:tcBorders>
            <w:vAlign w:val="center"/>
          </w:tcPr>
          <w:p w14:paraId="0C99324D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Cовокупная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задолженность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одного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работника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</w:p>
        </w:tc>
        <w:tc>
          <w:tcPr>
            <w:tcW w:w="2101" w:type="dxa"/>
            <w:tcBorders>
              <w:bottom w:val="single" w:sz="6" w:space="0" w:color="000000"/>
            </w:tcBorders>
            <w:vAlign w:val="center"/>
          </w:tcPr>
          <w:p w14:paraId="6C2B7B3A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не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более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5% </w:t>
            </w:r>
          </w:p>
        </w:tc>
        <w:tc>
          <w:tcPr>
            <w:tcW w:w="2643" w:type="dxa"/>
            <w:tcBorders>
              <w:bottom w:val="single" w:sz="6" w:space="0" w:color="000000"/>
            </w:tcBorders>
            <w:vAlign w:val="center"/>
          </w:tcPr>
          <w:p w14:paraId="5B23564E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y-KG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0.09%</w:t>
            </w:r>
          </w:p>
        </w:tc>
      </w:tr>
      <w:tr w:rsidR="004B50D6" w:rsidRPr="004B50D6" w14:paraId="3A113DC6" w14:textId="77777777" w:rsidTr="0006280D">
        <w:trPr>
          <w:trHeight w:val="242"/>
        </w:trPr>
        <w:tc>
          <w:tcPr>
            <w:tcW w:w="4820" w:type="dxa"/>
            <w:tcBorders>
              <w:bottom w:val="single" w:sz="6" w:space="0" w:color="000000"/>
            </w:tcBorders>
            <w:vAlign w:val="center"/>
          </w:tcPr>
          <w:p w14:paraId="6A598E1E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val="ru-RU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 w:bidi="ar-SA"/>
              </w:rPr>
              <w:t>Максимальный совокупный размер инвестиций в МФО, лизинговые компании и банки</w:t>
            </w:r>
          </w:p>
        </w:tc>
        <w:tc>
          <w:tcPr>
            <w:tcW w:w="2101" w:type="dxa"/>
            <w:tcBorders>
              <w:bottom w:val="single" w:sz="6" w:space="0" w:color="000000"/>
            </w:tcBorders>
            <w:vAlign w:val="center"/>
          </w:tcPr>
          <w:p w14:paraId="08ADF5EF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не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более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30% </w:t>
            </w:r>
          </w:p>
        </w:tc>
        <w:tc>
          <w:tcPr>
            <w:tcW w:w="2643" w:type="dxa"/>
            <w:tcBorders>
              <w:bottom w:val="single" w:sz="6" w:space="0" w:color="000000"/>
            </w:tcBorders>
            <w:vAlign w:val="center"/>
          </w:tcPr>
          <w:p w14:paraId="14C08DEB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y-KG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0.0%</w:t>
            </w:r>
          </w:p>
        </w:tc>
      </w:tr>
      <w:tr w:rsidR="004B50D6" w:rsidRPr="004B50D6" w14:paraId="22C1F788" w14:textId="77777777" w:rsidTr="0006280D">
        <w:trPr>
          <w:trHeight w:val="242"/>
        </w:trPr>
        <w:tc>
          <w:tcPr>
            <w:tcW w:w="4820" w:type="dxa"/>
            <w:tcBorders>
              <w:bottom w:val="single" w:sz="6" w:space="0" w:color="000000"/>
            </w:tcBorders>
            <w:vAlign w:val="center"/>
          </w:tcPr>
          <w:p w14:paraId="427BA0C2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val="ru-RU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 w:bidi="ar-SA"/>
              </w:rPr>
              <w:t>Общий размер инвестиций в негосударственные долговые ценные бумаги</w:t>
            </w:r>
          </w:p>
        </w:tc>
        <w:tc>
          <w:tcPr>
            <w:tcW w:w="2101" w:type="dxa"/>
            <w:tcBorders>
              <w:bottom w:val="single" w:sz="6" w:space="0" w:color="000000"/>
            </w:tcBorders>
            <w:vAlign w:val="center"/>
          </w:tcPr>
          <w:p w14:paraId="1BD3056D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не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более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50% </w:t>
            </w:r>
          </w:p>
        </w:tc>
        <w:tc>
          <w:tcPr>
            <w:tcW w:w="2643" w:type="dxa"/>
            <w:tcBorders>
              <w:bottom w:val="single" w:sz="6" w:space="0" w:color="000000"/>
            </w:tcBorders>
            <w:vAlign w:val="center"/>
          </w:tcPr>
          <w:p w14:paraId="0983DD00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y-KG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0.0%</w:t>
            </w:r>
          </w:p>
        </w:tc>
      </w:tr>
      <w:tr w:rsidR="004B50D6" w:rsidRPr="004B50D6" w14:paraId="1410FDF3" w14:textId="77777777" w:rsidTr="0006280D">
        <w:trPr>
          <w:trHeight w:val="242"/>
        </w:trPr>
        <w:tc>
          <w:tcPr>
            <w:tcW w:w="4820" w:type="dxa"/>
            <w:tcBorders>
              <w:bottom w:val="single" w:sz="6" w:space="0" w:color="000000"/>
            </w:tcBorders>
            <w:vAlign w:val="center"/>
          </w:tcPr>
          <w:p w14:paraId="0641EE88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val="ru-RU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 w:bidi="ar-SA"/>
              </w:rPr>
              <w:t>Максималный размер инвестиций в имущество (основные средства)</w:t>
            </w:r>
          </w:p>
        </w:tc>
        <w:tc>
          <w:tcPr>
            <w:tcW w:w="2101" w:type="dxa"/>
            <w:tcBorders>
              <w:bottom w:val="single" w:sz="6" w:space="0" w:color="000000"/>
            </w:tcBorders>
            <w:vAlign w:val="center"/>
          </w:tcPr>
          <w:p w14:paraId="2A688DE1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не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более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20%</w:t>
            </w:r>
          </w:p>
        </w:tc>
        <w:tc>
          <w:tcPr>
            <w:tcW w:w="2643" w:type="dxa"/>
            <w:tcBorders>
              <w:bottom w:val="single" w:sz="6" w:space="0" w:color="000000"/>
            </w:tcBorders>
            <w:vAlign w:val="center"/>
          </w:tcPr>
          <w:p w14:paraId="0817CC9B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y-KG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9,68%</w:t>
            </w:r>
          </w:p>
        </w:tc>
      </w:tr>
      <w:tr w:rsidR="004B50D6" w:rsidRPr="004B50D6" w14:paraId="3B8B1E5E" w14:textId="77777777" w:rsidTr="0006280D">
        <w:trPr>
          <w:trHeight w:val="242"/>
        </w:trPr>
        <w:tc>
          <w:tcPr>
            <w:tcW w:w="4820" w:type="dxa"/>
            <w:tcBorders>
              <w:bottom w:val="single" w:sz="6" w:space="0" w:color="000000"/>
            </w:tcBorders>
            <w:vAlign w:val="center"/>
          </w:tcPr>
          <w:p w14:paraId="6AEB0A1F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Размер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открытой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валютной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позиции</w:t>
            </w:r>
            <w:proofErr w:type="spellEnd"/>
          </w:p>
        </w:tc>
        <w:tc>
          <w:tcPr>
            <w:tcW w:w="2101" w:type="dxa"/>
            <w:tcBorders>
              <w:bottom w:val="single" w:sz="6" w:space="0" w:color="000000"/>
            </w:tcBorders>
            <w:vAlign w:val="center"/>
          </w:tcPr>
          <w:p w14:paraId="55F045F7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не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более</w:t>
            </w:r>
            <w:proofErr w:type="spellEnd"/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20%</w:t>
            </w:r>
          </w:p>
        </w:tc>
        <w:tc>
          <w:tcPr>
            <w:tcW w:w="2643" w:type="dxa"/>
            <w:tcBorders>
              <w:bottom w:val="single" w:sz="6" w:space="0" w:color="000000"/>
            </w:tcBorders>
            <w:vAlign w:val="center"/>
          </w:tcPr>
          <w:p w14:paraId="7DB8F48F" w14:textId="77777777" w:rsidR="004B50D6" w:rsidRPr="004B50D6" w:rsidRDefault="004B50D6" w:rsidP="004B50D6">
            <w:pPr>
              <w:widowControl/>
              <w:tabs>
                <w:tab w:val="left" w:pos="8931"/>
              </w:tabs>
              <w:autoSpaceDE/>
              <w:autoSpaceDN/>
              <w:spacing w:after="160" w:line="259" w:lineRule="auto"/>
              <w:ind w:left="142" w:right="1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y-KG" w:eastAsia="en-US" w:bidi="ar-SA"/>
              </w:rPr>
            </w:pPr>
            <w:r w:rsidRPr="004B50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ar-SA"/>
              </w:rPr>
              <w:t>0.01%</w:t>
            </w:r>
          </w:p>
        </w:tc>
      </w:tr>
    </w:tbl>
    <w:p w14:paraId="27EEE606" w14:textId="77777777" w:rsidR="004E35A9" w:rsidRPr="00D81AA0" w:rsidRDefault="004E35A9" w:rsidP="004E35A9">
      <w:pPr>
        <w:jc w:val="both"/>
        <w:rPr>
          <w:sz w:val="24"/>
          <w:szCs w:val="24"/>
        </w:rPr>
      </w:pPr>
    </w:p>
    <w:p w14:paraId="597388DA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A9"/>
    <w:rsid w:val="00212EA5"/>
    <w:rsid w:val="002873A6"/>
    <w:rsid w:val="0039409B"/>
    <w:rsid w:val="004A4ECB"/>
    <w:rsid w:val="004B50D6"/>
    <w:rsid w:val="004E35A9"/>
    <w:rsid w:val="0062031F"/>
    <w:rsid w:val="006C0B77"/>
    <w:rsid w:val="008242FF"/>
    <w:rsid w:val="00870751"/>
    <w:rsid w:val="008C424A"/>
    <w:rsid w:val="00922C48"/>
    <w:rsid w:val="00A62420"/>
    <w:rsid w:val="00B6194E"/>
    <w:rsid w:val="00B915B7"/>
    <w:rsid w:val="00D573F5"/>
    <w:rsid w:val="00E2702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B60BD"/>
  <w15:chartTrackingRefBased/>
  <w15:docId w15:val="{31417F07-D094-4668-B890-9FB60BB6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5A9"/>
    <w:pPr>
      <w:widowControl w:val="0"/>
      <w:autoSpaceDE w:val="0"/>
      <w:autoSpaceDN w:val="0"/>
      <w:spacing w:after="0" w:line="240" w:lineRule="auto"/>
    </w:pPr>
    <w:rPr>
      <w:rFonts w:ascii="Constantia" w:eastAsia="Constantia" w:hAnsi="Constantia" w:cs="Constantia"/>
      <w:kern w:val="0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35A9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5A9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5A9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5A9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35A9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35A9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35A9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35A9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35A9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5A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35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35A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35A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35A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E35A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E35A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E35A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E35A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E35A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E3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35A9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E3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35A9"/>
    <w:pPr>
      <w:widowControl/>
      <w:autoSpaceDE/>
      <w:autoSpaceDN/>
      <w:spacing w:before="160" w:after="160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E35A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E35A9"/>
    <w:pPr>
      <w:widowControl/>
      <w:autoSpaceDE/>
      <w:autoSpaceDN/>
      <w:spacing w:after="160"/>
      <w:ind w:left="720"/>
      <w:contextualSpacing/>
    </w:pPr>
    <w:rPr>
      <w:rFonts w:ascii="Times New Roman" w:eastAsiaTheme="minorHAnsi" w:hAnsi="Times New Roman" w:cstheme="minorBidi"/>
      <w:kern w:val="2"/>
      <w:sz w:val="28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4E35A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35A9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/>
      <w:ind w:left="864" w:right="864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kern w:val="2"/>
      <w:sz w:val="28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E35A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E35A9"/>
    <w:rPr>
      <w:b/>
      <w:bCs/>
      <w:smallCaps/>
      <w:color w:val="2E74B5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4E35A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3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87d4ad8-d67d-4f2d-b3ca-750faf30c5f7}" enabled="0" method="" siteId="{887d4ad8-d67d-4f2d-b3ca-750faf30c5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Shaibek Nurzhanov</dc:creator>
  <cp:keywords/>
  <dc:description/>
  <cp:lastModifiedBy>Ulanbek Akyshov</cp:lastModifiedBy>
  <cp:revision>5</cp:revision>
  <dcterms:created xsi:type="dcterms:W3CDTF">2026-04-27T05:18:00Z</dcterms:created>
  <dcterms:modified xsi:type="dcterms:W3CDTF">2026-07-19T13:36:00Z</dcterms:modified>
</cp:coreProperties>
</file>